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SASU 3DMG</w:t>
      </w:r>
    </w:p>
    <w:p>
      <w:pPr>
        <w:spacing w:line="240" w:lineRule="auto" w:before="0" w:after="0"/>
        <w:jc w:val="right"/>
      </w:pPr>
      <w:r>
        <w:t>3A, rue de Paris</w:t>
      </w:r>
    </w:p>
    <w:p>
      <w:pPr>
        <w:spacing w:line="240" w:lineRule="auto" w:before="0" w:after="0"/>
        <w:jc w:val="right"/>
      </w:pPr>
      <w:r>
        <w:t>35510 CESSON SEVIGNE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Mon parcours ayant été confirmé par l'Ordre,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Cesson-Sévigné, se distingue par une approche qui valorise la maîtrise du cœur de métier et la proximité avec les acteurs du territoire. Cette dimension humaine et technique est essentielle pour garantir une précision rigoureuse dans chaque dossier. Je suis sensible à cette volonté de fournir une expertise fiable et ancrée localement, assurant la sécurisation des projets et une relation de confiance avec vos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