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Dechant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souhaite aujourd'hui m'investir pleinement au sein d'une structure dynamique telle que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Geomat se distingue par une organisation solide et une présence dynamique sur plusieurs territoires (Bretagne, Normandie, Orléanais). Votre capacité à gérer des projets variés — de la division de propriété à l'aménagement foncier avec une double approche environnementale et agricole — témoigne d'une expertise complète. Votre engagement pour des environnements durables, alliant précision technique et innovation technologique, fait de votre cabinet un partenaire de confiance. Cette polyvalence, répondant tant aux besoins des particuliers qu'aux exigences des collectivités, souligne une exigence professionnelle remarquable.</w:t>
      </w:r>
    </w:p>
    <w:p>
      <w:pPr>
        <w:spacing w:line="276" w:lineRule="auto" w:before="0" w:after="160"/>
        <w:jc w:val="both"/>
      </w:pPr>
      <w:r>
        <w:t>Mon parcours universitaire m'a doté d'une forte culture de la donnée spatiale (modélisation 3D, SIG, traitement de données) et d'une solide capacité d'analyse face à des problématiques complexes. Mon objectif est de mettre cette sensibilité technique au service de vos opérations d'aménagement, tout en mobilisant ma méthodologie de chercheur pour assimiler rapidement le cadre réglementaire. Je conçois ce stage comme un échange entre la rigueur de la donnée et l'expertise du droit foncier, me permettant de contribuer efficacement à la sécurisation juridique des projets.</w:t>
      </w:r>
    </w:p>
    <w:p>
      <w:pPr>
        <w:spacing w:line="276" w:lineRule="auto" w:before="0" w:after="160"/>
        <w:jc w:val="both"/>
      </w:pPr>
      <w:r>
        <w:t>Lors de ma récente immersion en cabinet, j’ai découvert les réalités du terrain.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