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Jacques Wallois</w:t>
      </w:r>
    </w:p>
    <w:p>
      <w:pPr>
        <w:spacing w:line="240" w:lineRule="auto" w:before="0" w:after="0"/>
        <w:jc w:val="right"/>
      </w:pPr>
      <w:r>
        <w:t>EXPERT METRIC SAS</w:t>
      </w:r>
    </w:p>
    <w:p>
      <w:pPr>
        <w:spacing w:line="240" w:lineRule="auto" w:before="0" w:after="0"/>
        <w:jc w:val="right"/>
      </w:pPr>
      <w:r>
        <w:t>37 Route de Marmagne</w:t>
      </w:r>
    </w:p>
    <w:p>
      <w:pPr>
        <w:spacing w:line="240" w:lineRule="auto" w:before="0" w:after="0"/>
        <w:jc w:val="right"/>
      </w:pPr>
      <w:r>
        <w:t>18000 BOURGES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Wallois,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Expert Metric se distingue par une organisation multi-sites couvrant des zones géographiques variées, de la région Centre à la capitale. Cette présence sur des territoires aux profils distincts, ruraux ou urbains, témoigne d'une capacité à traiter une grande diversité de problématiques foncières. Cette polyvalence géographique et technique constitue un environnement particulièrement stimulant pour un futur professionnel souhaitant appréhender la complexité des enjeux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au sein de votre équipe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Wallois,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