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Bonhomme</w:t>
      </w:r>
    </w:p>
    <w:p>
      <w:pPr>
        <w:spacing w:line="240" w:lineRule="auto" w:before="0" w:after="0"/>
        <w:jc w:val="right"/>
      </w:pPr>
      <w:r>
        <w:t>SELARL BONHOMME</w:t>
      </w:r>
    </w:p>
    <w:p>
      <w:pPr>
        <w:spacing w:line="240" w:lineRule="auto" w:before="0" w:after="0"/>
        <w:jc w:val="right"/>
      </w:pPr>
      <w:r>
        <w:t>1 Avenue Pierre Sémard</w:t>
      </w:r>
    </w:p>
    <w:p>
      <w:pPr>
        <w:spacing w:line="240" w:lineRule="auto" w:before="0" w:after="0"/>
        <w:jc w:val="right"/>
      </w:pPr>
      <w:r>
        <w:t>18500 MEHUN SUR YEVRE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 et de contribuer activement à vos projets quotidiens.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Cette double exigence fait du métier une discipline passionnante où chaque mesure doit être justifiée par un cadre légal précis.</w:t>
      </w:r>
    </w:p>
    <w:p>
      <w:pPr>
        <w:spacing w:line="276" w:lineRule="auto" w:before="0" w:after="160"/>
        <w:jc w:val="both"/>
      </w:pPr>
      <w:r>
        <w:t>Votre cabinet, par sa structure récente et son ancrage à Mehun-sur-Yèvre, incarne une pratique exigeante où la maîtrise du cœur de métier est essentielle. La gestion de proximité et la technicité des opérations foncières requièrent une précision constante pour garantir la sécurité juridique des actes produits auprès des autorités et des clients. Je perçois votre structure comme un environnement propice à une géométrie rigoureuse, où chaque dossier nécessite une analyse attentive du patrimoine foncier local et une grande réactivité face aux contraintes réglementaires locales.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spécifique de la profession. Je conçois ce stage comme un véritable échange entre la rigueur de la donnée brute et l'expertise fine du droit foncier que vous exercez quotidiennement.</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précise.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