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Michaud</w:t>
      </w:r>
    </w:p>
    <w:p>
      <w:pPr>
        <w:spacing w:line="240" w:lineRule="auto" w:before="0" w:after="0"/>
        <w:jc w:val="right"/>
      </w:pPr>
      <w:r>
        <w:t>SELAS NEUILLY</w:t>
      </w:r>
    </w:p>
    <w:p>
      <w:pPr>
        <w:spacing w:line="240" w:lineRule="auto" w:before="0" w:after="0"/>
        <w:jc w:val="right"/>
      </w:pPr>
      <w:r>
        <w:t>20 rue de Marmignolles BP N° 1</w:t>
      </w:r>
    </w:p>
    <w:p>
      <w:pPr>
        <w:spacing w:line="240" w:lineRule="auto" w:before="0" w:after="0"/>
        <w:jc w:val="right"/>
      </w:pPr>
      <w:r>
        <w:t>18500 MARMAGNE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Michaud,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SELAS NEUILLY, établi depuis 1971, témoigne d'une expertise pérenne. Votre présence sur deux sites (Châteauroux et Marmagne) permet de couvrir une diversité de problématiques en milieux urbain et rural. Cette implantation, alliée à une dimension humaine et à plusieurs décennies d'expérience, offre un cadre idéal pour allier proximité et vision globale des enjeux fonciers régionaux.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production technique au service de vos opérations d'aménagement, tout en mobilisant ma méthode de chercheur pour assimiler rapidement le cadre réglementaire. Je conçois ce stage comme un échange entre rigueur des données et expertise du droit foncier, avec la volonté d'apporter une contribution efficace dès mon intégration.</w:t>
      </w:r>
    </w:p>
    <w:p>
      <w:pPr>
        <w:spacing w:line="276" w:lineRule="auto" w:before="0" w:after="160"/>
        <w:jc w:val="both"/>
      </w:pPr>
      <w:r>
        <w:t>Lors de ma récente immersion en cabinet, j’ai acquis une bonne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Michaud,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