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Sebastien Faisant</w:t>
      </w:r>
    </w:p>
    <w:p>
      <w:pPr>
        <w:spacing w:line="240" w:lineRule="auto" w:before="0" w:after="0"/>
        <w:jc w:val="right"/>
      </w:pPr>
      <w:r>
        <w:t>Cabinet FORTEAU-FAISANT sarl</w:t>
      </w:r>
    </w:p>
    <w:p>
      <w:pPr>
        <w:spacing w:line="240" w:lineRule="auto" w:before="0" w:after="0"/>
        <w:jc w:val="right"/>
      </w:pPr>
      <w:r>
        <w:t>49 rue Saint Jean BP 43</w:t>
      </w:r>
    </w:p>
    <w:p>
      <w:pPr>
        <w:spacing w:line="240" w:lineRule="auto" w:before="0" w:after="0"/>
        <w:jc w:val="right"/>
      </w:pPr>
      <w:r>
        <w:t>28100 DREUX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alliance affirmée entre une longue expérience dans l'aménagement du territoire et l'intégration des techniques les plus avancées. Cette dualité, alliée à une présence historique sur plusieurs départements, témoigne d'une maîtrise approfondie du foncier local et d'une volonté constante de moderniser les outils de production pour accompagner vos partenaires privilégiés.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