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Esnault</w:t>
      </w:r>
    </w:p>
    <w:p>
      <w:pPr>
        <w:spacing w:line="240" w:lineRule="auto" w:before="0" w:after="0"/>
        <w:jc w:val="right"/>
      </w:pPr>
      <w:r>
        <w:t>83 rue des Fouleries La Boissière BP 50224, 28203 CHATEAUDUN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reconnue.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Esnault se distingue par une implantation territoriale marquée, avec des agences à Châteaudun, Brou et Janville en Beauce. Cette présence multi-sites témoigne d'une capacité à intervenir sur une grande diversité de contextes géographiques et de problématiques foncières variées. Cette organisation permet d'appréhender une pluralité de projets, alliant expertise de proximité et gestion de dossiers d'aménagement plus larges.</w:t>
      </w:r>
    </w:p>
    <w:p>
      <w:pPr>
        <w:spacing w:line="276" w:lineRule="auto" w:before="0" w:after="160"/>
        <w:jc w:val="both"/>
      </w:pPr>
      <w:r>
        <w:t>Mon parcours universitaire de recherche m'a doté d'une forte culture de la donnée spatiale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 où ma capacité de synthèse sera un atout pour traiter des dossiers complexes.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