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Joel Claude Armand</w:t>
      </w:r>
    </w:p>
    <w:p>
      <w:pPr>
        <w:spacing w:line="240" w:lineRule="auto" w:before="0" w:after="0"/>
        <w:jc w:val="right"/>
      </w:pPr>
      <w:r>
        <w:t>AIR GEO SCP de Géomètres-Experts Fonciers</w:t>
      </w:r>
    </w:p>
    <w:p>
      <w:pPr>
        <w:spacing w:line="240" w:lineRule="auto" w:before="0" w:after="0"/>
        <w:jc w:val="right"/>
      </w:pPr>
      <w:r>
        <w:t>4 bis rue de la Maison d'Ardoise BP38</w:t>
      </w:r>
    </w:p>
    <w:p>
      <w:pPr>
        <w:spacing w:line="240" w:lineRule="auto" w:before="0" w:after="0"/>
        <w:jc w:val="right"/>
      </w:pPr>
      <w:r>
        <w:t>37230 FONDETTES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préparerai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AIR GEO se distingue par sa capacité à conjuguer une solide expérience historique, remontant à 1926, avec une volonté constante de modernisation technologique et juridique. Sa présence à travers 11 agences permet une connaissance fine des enjeux locaux tout en assurant une capacité d'intervention sur des opérations de grande envergure à l'échelle nationale. Cette structure pluridisciplinaire, plaçant la sécurisation des projets et l'accompagnement personnalisé au cœur de sa démarche, offre un cadre d'exercice complet et exigeant.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