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BRANLY &amp; Associés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exigeante et reconnue pour son excellence technique.</w:t>
      </w:r>
    </w:p>
    <w:p>
      <w:pPr>
        <w:spacing w:line="276" w:lineRule="auto" w:before="0" w:after="160"/>
        <w:jc w:val="both"/>
      </w:pPr>
      <w:r>
        <w:t>Le métier de géomètre-expert allie parfaitement la rigueur technique de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dualité entre la précision millimétrique du relevé et la complexité du droit foncier constitue le cœur même de ma motivation professionnelle.</w:t>
      </w:r>
    </w:p>
    <w:p>
      <w:pPr>
        <w:spacing w:line="276" w:lineRule="auto" w:before="0" w:after="160"/>
        <w:jc w:val="both"/>
      </w:pPr>
      <w:r>
        <w:t>Le cabinet BRANLY &amp; Associés se distingue par une approche rigoureuse de la garantie foncière, où la sécurité factuelle prime sur la simple validité administrative. Votre expertise sur des problématiques complexes, comme les cavités souterraines, ainsi que votre rôle de conseiller stratégique pour la valorisation du patrimoine immobilier, témoignent d'une maîtrise approfondie du métier. La diversité de vos expertises au sein d'une équipe pluridisciplinaire et votre ancrage territorial offrent un cadre de formation idéal pour un futur professionnel en quête d'excellence.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de protection foncière, tout en mobilisant ma méthode de chercheur pour assimiler rapidement le cadre réglementaire de la profession. Je conçois ce stage comme un véritable échange entre la précision des données et l'expertise du droit foncier, où chaque donnée collectée doit servir une décision juridique solide.</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qu’en appuyant un raisonnement juridique structuré. Conscient que la maîtrise opérationnelle s'acquiert par la pratique quotidienne et répétée, je suis motivé pour apporter rapidement ma contribution technique sur le terrain ainsi qu'au sein du bureau d'études pour garantir la qualité des livrables.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