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Tartarin</w:t>
      </w:r>
    </w:p>
    <w:p>
      <w:pPr>
        <w:spacing w:line="240" w:lineRule="auto" w:before="0" w:after="0"/>
        <w:jc w:val="right"/>
      </w:pPr>
      <w:r>
        <w:t>EURL François TARTARIN</w:t>
      </w:r>
    </w:p>
    <w:p>
      <w:pPr>
        <w:spacing w:line="240" w:lineRule="auto" w:before="0" w:after="0"/>
        <w:jc w:val="right"/>
      </w:pPr>
      <w:r>
        <w:t>17 rue de la Douzillère</w:t>
      </w:r>
    </w:p>
    <w:p>
      <w:pPr>
        <w:spacing w:line="240" w:lineRule="auto" w:before="0" w:after="0"/>
        <w:jc w:val="right"/>
      </w:pPr>
      <w:r>
        <w:t>37300 JOUE LES TOURS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Tartarin,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depuis 2008, témoigne d'une stabilité et d'une maîtrise affirmée du cœur de métier. La taille humaine de votre cabinet suggère une organisation où la proximité et la qualité du suivi technique sont primordiales. Cette dimension permet une approche rigoureuse et personnalisée des problématiques foncières, garantissant une expertise de terrain solide et une gestion attentive de chaque dossier.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Tartarin,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