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Jean-Marie Andre Dumont</w:t>
      </w:r>
    </w:p>
    <w:p>
      <w:pPr>
        <w:spacing w:line="240" w:lineRule="auto" w:before="0" w:after="0"/>
        <w:jc w:val="right"/>
      </w:pPr>
      <w:r>
        <w:t>Cabinet DUMONT Pascal</w:t>
      </w:r>
    </w:p>
    <w:p>
      <w:pPr>
        <w:spacing w:line="240" w:lineRule="auto" w:before="0" w:after="0"/>
        <w:jc w:val="right"/>
      </w:pPr>
      <w:r>
        <w:t>35 rue Nationale</w:t>
      </w:r>
    </w:p>
    <w:p>
      <w:pPr>
        <w:spacing w:line="240" w:lineRule="auto" w:before="0" w:after="0"/>
        <w:jc w:val="right"/>
      </w:pPr>
      <w:r>
        <w:t>41120 CELLETTES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Dumont,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établie et rigoureuse.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DUMONT Pascal se distingue par une structure à taille humaine et une présence constante sur le territoire depuis 2003. Cette configuration suggère une maîtrise approfondie du cœur de métier ainsi qu'une proximité essentielle avec les clients et partenaires locaux. Une telle organisation permet une immersion directe dans les enjeux fonciers spécifiques et une transmission des savoir-faire fondamentaux, garantissant une approche méthodique, rigoureuse et personnalisée de chaque dossier technique complexe.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unissant précision du relevé et sécurité juridique.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