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Céline Hélène Chenu</w:t>
      </w:r>
    </w:p>
    <w:p>
      <w:pPr>
        <w:spacing w:line="240" w:lineRule="auto" w:before="0" w:after="0"/>
        <w:jc w:val="right"/>
      </w:pPr>
      <w:r>
        <w:t>SAS SAGEO</w:t>
      </w:r>
    </w:p>
    <w:p>
      <w:pPr>
        <w:spacing w:line="240" w:lineRule="auto" w:before="0" w:after="0"/>
        <w:jc w:val="right"/>
      </w:pPr>
      <w:r>
        <w:t>5 Parc Belvédère</w:t>
      </w:r>
    </w:p>
    <w:p>
      <w:pPr>
        <w:spacing w:line="240" w:lineRule="auto" w:before="0" w:after="0"/>
        <w:jc w:val="right"/>
      </w:pPr>
      <w:r>
        <w:t>20000 AJACCIO</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Chenu,</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SAS SAGEO se distingue par une structure à taille humaine privilégiant une approche de proximité et une maîtrise rigoureuse du cœur de métier. Cette organisation favorise une immersion directe dans la diversité des problématiques foncières et une gestion agile des dossiers. Elle permet de garantir une qualité de service personnalisée, où chaque intervention technique et juridique est traitée avec une attention particulière aux spécificités du territoire et aux enjeux complexes des clients.</w:t>
      </w:r>
    </w:p>
    <w:p>
      <w:pPr>
        <w:spacing w:line="276" w:lineRule="auto" w:before="0" w:after="160"/>
        <w:jc w:val="both"/>
      </w:pPr>
      <w:r>
        <w:t>Mon parcours universitaire m'a doté d'une forte culture de la donnée spatiale et d'une solide capacité d'analyse face à des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Chenu,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