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Vannier</w:t>
      </w:r>
    </w:p>
    <w:p>
      <w:pPr>
        <w:spacing w:line="240" w:lineRule="auto" w:before="0" w:after="0"/>
        <w:jc w:val="right"/>
      </w:pPr>
      <w:r>
        <w:t>CABINET VANNIER GEOMETRE-EXPERT SELARL</w:t>
      </w:r>
    </w:p>
    <w:p>
      <w:pPr>
        <w:spacing w:line="240" w:lineRule="auto" w:before="0" w:after="0"/>
        <w:jc w:val="right"/>
      </w:pPr>
      <w:r>
        <w:t>16 rue des Granges Moulues</w:t>
      </w:r>
    </w:p>
    <w:p>
      <w:pPr>
        <w:spacing w:line="240" w:lineRule="auto" w:before="0" w:after="0"/>
        <w:jc w:val="right"/>
      </w:pPr>
      <w:r>
        <w:t>08000 CHARLEVILLE MEZIERES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Vannier,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Charleville-Mézières depuis 2011, témoigne d'une maîtrise confirmée du cœur de métier. La structure que vous avez bâtie permet une approche de proximité, essentielle pour appréhender les spécificités foncières locales. Cette solide implantation au sein d'un territoire précis souligne l'importance de la précision technique et de la connaissance fine du terrain pour répondre avec efficacité aux besoins des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