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Jean Tessier</w:t>
      </w:r>
    </w:p>
    <w:p>
      <w:pPr>
        <w:spacing w:line="240" w:lineRule="auto" w:before="0" w:after="0"/>
        <w:jc w:val="right"/>
      </w:pPr>
      <w:r>
        <w:t>SARL Cabinet TESSIER Géomètre-Expert</w:t>
      </w:r>
    </w:p>
    <w:p>
      <w:pPr>
        <w:spacing w:line="240" w:lineRule="auto" w:before="0" w:after="0"/>
        <w:jc w:val="right"/>
      </w:pPr>
      <w:r>
        <w:t>5 rue Jules Lefèvre</w:t>
      </w:r>
    </w:p>
    <w:p>
      <w:pPr>
        <w:spacing w:line="240" w:lineRule="auto" w:before="0" w:after="0"/>
        <w:jc w:val="right"/>
      </w:pPr>
      <w:r>
        <w:t>51700 DORMANS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Tessier,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instauré en 1996, se distingue par une structure à taille humaine permettant une maîtrise approfondie du cœur du métier. Cette organisation, axée sur la proximité et la pérennité, garantit une approche rigoureuse des problématiques foncières et une relation de confiance avec les usagers. Elle offre un cadre idéal pour appréhender la diversité des interventions techniques et juridiques au plus près des réalités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Tessier,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