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SCP ROUALET HERRMANN</w:t>
      </w:r>
    </w:p>
    <w:p>
      <w:pPr>
        <w:spacing w:line="240" w:lineRule="auto" w:before="0" w:after="0"/>
        <w:jc w:val="right"/>
      </w:pPr>
      <w:r>
        <w:t>8 B de Lattre de Tassigny</w:t>
      </w:r>
    </w:p>
    <w:p>
      <w:pPr>
        <w:spacing w:line="240" w:lineRule="auto" w:before="0" w:after="0"/>
        <w:jc w:val="right"/>
      </w:pPr>
      <w:r>
        <w:t>AY BP 31</w:t>
      </w:r>
    </w:p>
    <w:p>
      <w:pPr>
        <w:spacing w:line="240" w:lineRule="auto" w:before="0" w:after="0"/>
        <w:jc w:val="right"/>
      </w:pPr>
      <w:r>
        <w:t>51160 AY CHAMPAGNE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SCP ROUALET HERRMANN se distingue par une approche ancrée dans la maîtrise du cœur de métier et une connaissance approfondie du territoire d'Ay Champagne. Cette structure privilégie la proximité et la précision pour répondre avec rigueur aux enjeux fonciers locaux. Votre expertise repose sur une gestion de confiance où la sécurité juridique et la fiabilité technique constituent les piliers de votre intervention auprès des usagers.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