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Johann Charles Bourrier</w:t>
      </w:r>
    </w:p>
    <w:p>
      <w:pPr>
        <w:spacing w:line="240" w:lineRule="auto" w:before="0" w:after="0"/>
        <w:jc w:val="right"/>
      </w:pPr>
      <w:r>
        <w:t>SELARR KOLB - BOURRIER</w:t>
      </w:r>
    </w:p>
    <w:p>
      <w:pPr>
        <w:spacing w:line="240" w:lineRule="auto" w:before="0" w:after="0"/>
        <w:jc w:val="right"/>
      </w:pPr>
      <w:r>
        <w:t>1 TER Boulevard Gambetta</w:t>
      </w:r>
    </w:p>
    <w:p>
      <w:pPr>
        <w:spacing w:line="240" w:lineRule="auto" w:before="0" w:after="0"/>
        <w:jc w:val="right"/>
      </w:pPr>
      <w:r>
        <w:t>52000 CHAUMONT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Bourrier,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son implantation sur les secteurs de Chaumont et de Langres, offre une présence significative sur des territoires aux enjeux diversifiés. Cette double implantation suggère une grande variété de missions, couvrant aussi bien les réalités urbaines que les spécificités rurales. Cette organisation permet d'assurer une proximité avec les acteurs locaux tout en traitant des problématiques foncières variées, garantissant une approche polyvalente et ancrée dans le territoire.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