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 Sabater</w:t>
      </w:r>
    </w:p>
    <w:p>
      <w:pPr>
        <w:spacing w:line="240" w:lineRule="auto" w:before="0" w:after="0"/>
        <w:jc w:val="right"/>
      </w:pPr>
      <w:r>
        <w:t>SELARL SABATER GEOMETRE-EXPERT</w:t>
      </w:r>
    </w:p>
    <w:p>
      <w:pPr>
        <w:spacing w:line="240" w:lineRule="auto" w:before="0" w:after="0"/>
        <w:jc w:val="right"/>
      </w:pPr>
      <w:r>
        <w:t>12 rue Jameray Duval</w:t>
      </w:r>
    </w:p>
    <w:p>
      <w:pPr>
        <w:spacing w:line="240" w:lineRule="auto" w:before="0" w:after="0"/>
        <w:jc w:val="right"/>
      </w:pPr>
      <w:r>
        <w:t>54300 LUNEVILLE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Sabater,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réglementations pour sécuriser des projets, qu’il s’agisse de bornage, de division ou d’aménagement durable.</w:t>
      </w:r>
    </w:p>
    <w:p>
      <w:pPr>
        <w:spacing w:line="276" w:lineRule="auto" w:before="0" w:after="160"/>
        <w:jc w:val="both"/>
      </w:pPr>
      <w:r>
        <w:t>Le cabinet de la SELARL Sabater se distingue par sa structure à taille humaine, caractéristique d'une pratique de proximité où la maîtrise du cœur du métier est centrale. Cette organisation permet une approche rigoureuse et personnalisée de chaque dossier, garantissant un suivi attentif des problématiques foncières. Votre ancrage local et votre expertise témoignent d'un engagement constant pour la qualité et la précision des prestations techniques et juridiques fournies aux clients.</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utilisant ma méthode de chercheur pour assimiler rapidement le cadre réglementaire de la profession. Je conçois ce stage comme un véritable échange entre la rigueur de la donnée technique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Sabater,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