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Jean-Michel Ferry</w:t>
      </w:r>
    </w:p>
    <w:p>
      <w:pPr>
        <w:spacing w:line="240" w:lineRule="auto" w:before="0" w:after="0"/>
        <w:jc w:val="right"/>
      </w:pPr>
      <w:r>
        <w:t>GUELLE et FUCHS</w:t>
      </w:r>
    </w:p>
    <w:p>
      <w:pPr>
        <w:spacing w:line="240" w:lineRule="auto" w:before="0" w:after="0"/>
        <w:jc w:val="right"/>
      </w:pPr>
      <w:r>
        <w:t>18 av du Général Passaga</w:t>
      </w:r>
    </w:p>
    <w:p>
      <w:pPr>
        <w:spacing w:line="240" w:lineRule="auto" w:before="0" w:after="0"/>
        <w:jc w:val="right"/>
      </w:pPr>
      <w:r>
        <w:t>57600 FORBACH</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en 1993, se distingue par un ancrage historique solide et une approche globale de la gestion foncière. Au-delà de l'expertise technique de la mesure géométrique, votre engagement dans le conseil et la maîtrise d'œuvre souligne une philosophie d'accompagnement complet du client. Cette double capacité à fournir des données précises tout en assurant un pilotage stratégique des projets témoigne d'une haute responsabilité professionnelle et d'une volonté d'apporter des solutions globales aux problématiques territoriales complexes.</w:t>
      </w:r>
    </w:p>
    <w:p>
      <w:pPr>
        <w:spacing w:line="276" w:lineRule="auto" w:before="0" w:after="160"/>
        <w:jc w:val="both"/>
      </w:pPr>
      <w:r>
        <w:t>Mon parcours académique en recherche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