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Diethrich</w:t>
      </w:r>
    </w:p>
    <w:p>
      <w:pPr>
        <w:spacing w:line="240" w:lineRule="auto" w:before="0" w:after="0"/>
        <w:jc w:val="right"/>
      </w:pPr>
      <w:r>
        <w:t>AA GEOMETRE-EXPERT Cabinet DIETHRICH</w:t>
      </w:r>
    </w:p>
    <w:p>
      <w:pPr>
        <w:spacing w:line="240" w:lineRule="auto" w:before="0" w:after="0"/>
        <w:jc w:val="right"/>
      </w:pPr>
      <w:r>
        <w:t>17 rue du barrage</w:t>
      </w:r>
    </w:p>
    <w:p>
      <w:pPr>
        <w:spacing w:line="240" w:lineRule="auto" w:before="0" w:after="0"/>
        <w:jc w:val="right"/>
      </w:pPr>
      <w:r>
        <w:t>67300 SCHILTIGHEIM</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Diethrich,</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structuré récemment, témoigne d'une volonté de développer une expertise de proximité. Dans une structure à taille humaine, la maîtrise du cœur du métier est essentielle pour garantir la qualité des prestations et la pérennité des interventions. Cette organisation permet une immersion directe dans la réalité des dossiers, où la précision technique et le conseil font partie intégrante de la relation client. Je suis particulièrement sensible à cette approche privilégiant la qualité du conseil et la rigueur opérationnelle au quotidien.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Diethrich,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