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Regis Bilhaut</w:t>
      </w:r>
    </w:p>
    <w:p>
      <w:pPr>
        <w:spacing w:line="240" w:lineRule="auto" w:before="0" w:after="0"/>
        <w:jc w:val="right"/>
      </w:pPr>
      <w:r>
        <w:t>Cabinet BILHAUT</w:t>
      </w:r>
    </w:p>
    <w:p>
      <w:pPr>
        <w:spacing w:line="240" w:lineRule="auto" w:before="0" w:after="0"/>
        <w:jc w:val="right"/>
      </w:pPr>
      <w:r>
        <w:t>269b avenue de Colmar</w:t>
      </w:r>
    </w:p>
    <w:p>
      <w:pPr>
        <w:spacing w:line="240" w:lineRule="auto" w:before="0" w:after="0"/>
        <w:jc w:val="right"/>
      </w:pPr>
      <w:r>
        <w:t>67100 STRASBOURG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Bilhaut,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Bilhaut se distingue par une implantation solide à Strasbourg et une expérience établie depuis 2000. Avec une équipe de dix à dix-neuf salariés, votre cabinet témoigne d'une capacité à gérer des dossiers complexes tout en maintenant une organisation humaine et une maîtrise approfondie du cœur de métier. Cette pérennité et la taille de votre structure suggèrent un environnement de travail structuré, propice à une pratique exigeante et à une transmission de savoir-faire de qualité au sein d'un ancrage territorial fort.</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Bilhaut,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