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Un Point Six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Un Point Six se distingue par son maillage territorial structuré autour de trois implantations à Schiltigheim, Colmar et Sélestat. Cette présence multi-sites témoigne d'une capacité à intervenir sur une grande diversité de contextes, couvrant des zones urbaines et rurales. Cette polyvalence constitue un environnement de travail pertinent pour appréhender les enjeux fonciers et les spécificités réglementaires propres à chaque territoire.</w:t>
      </w:r>
    </w:p>
    <w:p>
      <w:pPr>
        <w:spacing w:line="276" w:lineRule="auto" w:before="0" w:after="160"/>
        <w:jc w:val="both"/>
      </w:pPr>
      <w:r>
        <w:t>Mon parcours universitaire m'a doté d'une forte culture de la donnée spatiale et d'une solide capacité d'analyse. Je possède une sensibilité pour les outils de traitement, tels que les SIG ou le scanner 3D, que je considère comme un appui essentiel au raisonnement plutôt que comme une fin en soi. Mon objectif est de mettre cette production technique au service de vos opérations d'aménagement, tout en m'appuyant sur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