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 Le Boulaire</w:t>
      </w:r>
    </w:p>
    <w:p>
      <w:pPr>
        <w:spacing w:line="240" w:lineRule="auto" w:before="0" w:after="0"/>
        <w:jc w:val="right"/>
      </w:pPr>
      <w:r>
        <w:t>SAS YANN LE BOULAIRE</w:t>
      </w:r>
    </w:p>
    <w:p>
      <w:pPr>
        <w:spacing w:line="240" w:lineRule="auto" w:before="0" w:after="0"/>
        <w:jc w:val="right"/>
      </w:pPr>
      <w:r>
        <w:t>31 rue Georges Klein</w:t>
      </w:r>
    </w:p>
    <w:p>
      <w:pPr>
        <w:spacing w:line="240" w:lineRule="auto" w:before="0" w:after="0"/>
        <w:jc w:val="right"/>
      </w:pPr>
      <w:r>
        <w:t>67600 SELESTAT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Boulaire,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sur deux territoires distincts, à Munster et Sélestat. Cette implantation permet de couvrir une diversité de contextes géographiques et de types de terrains, du tissu urbain aux zones rurales. De plus, votre structure, établie en 2015 et composée de six à neuf salariés, témoigne d'un équilibre entre une organisation dynamique et une échelle humaine favorisant la proximité, la réactivité et une transmission des savoirs de proximité.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Boulaire,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