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David Mickaël Scherrer</w:t>
      </w:r>
    </w:p>
    <w:p>
      <w:pPr>
        <w:spacing w:line="240" w:lineRule="auto" w:before="0" w:after="0"/>
        <w:jc w:val="right"/>
      </w:pPr>
      <w:r>
        <w:t>108 rue de Bourgfelden</w:t>
      </w:r>
    </w:p>
    <w:p>
      <w:pPr>
        <w:spacing w:line="240" w:lineRule="auto" w:before="0" w:after="0"/>
        <w:jc w:val="right"/>
      </w:pPr>
      <w:r>
        <w:t>68220 HEGENHEIM</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créé en 2024 sous le numéro 5499, témoigne d'une volonté de bâtir une expertise solide à Hegenheim. Cette structure récente offre un environnement propice à un travail de qualité où la fiabilité des mesures et la proximité client sont fondamentales. Je suis particulièrement sensible à votre démarche axée sur la précision technique et la maîtrise du cœur de métier.</w:t>
      </w:r>
    </w:p>
    <w:p>
      <w:pPr>
        <w:spacing w:line="276" w:lineRule="auto" w:before="0" w:after="160"/>
        <w:jc w:val="both"/>
      </w:pPr>
      <w:r>
        <w:t>Mon parcours universitaire en archéologie spécialisée en urbanisme m'a doté d'une forte culture de la donnée spatiale et d'une solide capacité de synthèse face aux problématiques complexes. Mon objectif est de mettre cette force au service de vos opérations, tout en utilisant ma méthodologie de chercheur pour assimiler rapidement le cadre réglementaire. Je conçois ce stage comme un échange entre rigueur de la donnée, lecture des archives et expertise du droit foncier.</w:t>
      </w:r>
    </w:p>
    <w:p>
      <w:pPr>
        <w:spacing w:line="276" w:lineRule="auto" w:before="0" w:after="160"/>
        <w:jc w:val="both"/>
      </w:pPr>
      <w:r>
        <w:t>Lors de mon immersion récente en cabinet, j’ai acquis une bonne maîtrise des méthodes de production, de l’acquisition sur le terrain 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mon concours technique au sein de votre équipe.</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Scherrer,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