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Jean Andre Jung</w:t>
      </w:r>
    </w:p>
    <w:p>
      <w:pPr>
        <w:spacing w:line="240" w:lineRule="auto" w:before="0" w:after="0"/>
        <w:jc w:val="right"/>
      </w:pPr>
      <w:r>
        <w:t>JUNG Marc SARL</w:t>
      </w:r>
    </w:p>
    <w:p>
      <w:pPr>
        <w:spacing w:line="240" w:lineRule="auto" w:before="0" w:after="0"/>
        <w:jc w:val="right"/>
      </w:pPr>
      <w:r>
        <w:t>101 rue Théodore Deck</w:t>
      </w:r>
    </w:p>
    <w:p>
      <w:pPr>
        <w:spacing w:line="240" w:lineRule="auto" w:before="0" w:after="0"/>
        <w:jc w:val="right"/>
      </w:pPr>
      <w:r>
        <w:t>68500 GUEBWILLER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Jung,</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stratégique sur plusieurs sites à Guebwilller, Mulhouse et Ensisheim, témoignant d'une implantation ancrée sur des territoires variés. Cette diversité géographique permet d'appréhender des problématiques contrastées, allant de la dynamique urbaine aux enjeux du milieu rural. La dimension humaine de votre structure suggère une approche de proximité où la maîtrise du cœur de métier et la qualité du suivi technique constituent des piliers essentiels de votre activité.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Jung,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