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Marcel Demange</w:t>
      </w:r>
    </w:p>
    <w:p>
      <w:pPr>
        <w:spacing w:line="240" w:lineRule="auto" w:before="0" w:after="0"/>
        <w:jc w:val="right"/>
      </w:pPr>
      <w:r>
        <w:t>SARL Cabinet DEMANGE et Associés</w:t>
      </w:r>
    </w:p>
    <w:p>
      <w:pPr>
        <w:spacing w:line="240" w:lineRule="auto" w:before="0" w:after="0"/>
        <w:jc w:val="right"/>
      </w:pPr>
      <w:r>
        <w:t>45 faubourg d'Alsace</w:t>
      </w:r>
    </w:p>
    <w:p>
      <w:pPr>
        <w:spacing w:line="240" w:lineRule="auto" w:before="0" w:after="0"/>
        <w:jc w:val="right"/>
      </w:pPr>
      <w:r>
        <w:t>88200 REMIREMONT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Demange,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mes aspirations : il offre une articulation essentielle entre la rigueur technique de terrain et l’ingénierie juridique du territoire. Si la pratique de terrain m’attire, c’est avant tout la dimension intellectuelle qui me motive : confronter archives, réalités matérielles et règles complexes d’urbanisme pour sécuriser des projets, qu’il s’agisse de bornage, de division ou d’aménagement durable.</w:t>
      </w:r>
    </w:p>
    <w:p>
      <w:pPr>
        <w:spacing w:line="276" w:lineRule="auto" w:before="0" w:after="160"/>
        <w:jc w:val="both"/>
      </w:pPr>
      <w:r>
        <w:t>Le Cabinet DEMANGE et Associés présente une structure établie depuis 1996, dont le développement sur plusieurs implantations telles que Remiremont, Le Thillot et Gérardmer témoigne d'une présence sur des territoires variés. Cette diversité géographique permet de répondre aux enjeux spécifiques des zones urbaines et rurales, tout en maintenant une dimension de proximité avec une clientèle locale diversifiée.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