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Sylvia Fiore</w:t>
      </w:r>
    </w:p>
    <w:p>
      <w:pPr>
        <w:spacing w:line="240" w:lineRule="auto" w:before="0" w:after="0"/>
        <w:jc w:val="right"/>
      </w:pPr>
      <w:r>
        <w:t>SCP MARTIN ET FIORE Géomètres-Experts Associés</w:t>
      </w:r>
    </w:p>
    <w:p>
      <w:pPr>
        <w:spacing w:line="240" w:lineRule="auto" w:before="0" w:after="0"/>
        <w:jc w:val="right"/>
      </w:pPr>
      <w:r>
        <w:t>31 rue Charles de Gaulle</w:t>
      </w:r>
    </w:p>
    <w:p>
      <w:pPr>
        <w:spacing w:line="240" w:lineRule="auto" w:before="0" w:after="0"/>
        <w:jc w:val="right"/>
      </w:pPr>
      <w:r>
        <w:t>02500 HIRSON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Fiore,</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plusieurs sites à Hirson, Montcornet et Vervins, témoigne d'une implantation ancrée dans la diversité des territoires régionaux. Cette présence multi-sites, alliée à une structure à taille humaine, suggère une maîtrise approfondie du cœur de métier et une proximité essentielle avec les acteurs locaux. Votre expérience, consolidée depuis 2002, garantit une expertise solide dans la gestion des problématiques foncières variées, qu'elles soient rurales ou urbaines, propres à ces zones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Fiore,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