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Briffaut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fort de plus de soixante ans d'expérience, se distingue par une présence solide sur les territoires d'Arras, de Cambrai et de Lille, couvrant des problématiques variées pour des administrations, professionnels et particuliers. J'ai noté avec intérêt votre engagement pour le développement durable, inscrit dans votre démarche prospective. Cette volonté d'intégrer les enjeux de demain dans vos prestations, tout en maintenant une expertise historique sur le foncier et l'urbanisme, souligne une vision de la profession alliant pérennité et innovation.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Briffaut,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