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Arthur Leveugle</w:t>
      </w:r>
    </w:p>
    <w:p>
      <w:pPr>
        <w:spacing w:line="240" w:lineRule="auto" w:before="0" w:after="0"/>
        <w:jc w:val="right"/>
      </w:pPr>
      <w:r>
        <w:t>Cabinet GEO FLANDRES</w:t>
      </w:r>
    </w:p>
    <w:p>
      <w:pPr>
        <w:spacing w:line="240" w:lineRule="auto" w:before="0" w:after="0"/>
        <w:jc w:val="right"/>
      </w:pPr>
      <w:r>
        <w:t>403 allée des Prêles Zone d'Activités de la Verte Rue</w:t>
      </w:r>
    </w:p>
    <w:p>
      <w:pPr>
        <w:spacing w:line="240" w:lineRule="auto" w:before="0" w:after="0"/>
        <w:jc w:val="right"/>
      </w:pPr>
      <w:r>
        <w:t>59270 BAILLEUL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Leveugle,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permettant une approche de proximité et une maîtrise du cœur de métier. Cette organisation, alliant dynamisme et expertise technique, offre un cadre idéal pour assurer la qualité des prestations tout en garantissant un suivi attentif des dossiers fonciers. Votre ancrage local et la diversité des missions témoignent d'un engagement constant envers la sécurisation du patrimoine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entre la rigueur de la donnée et l'expertise du droit foncier, ma capacité de synthèse étant un atout pour traiter efficacement les dossiers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Leveugle,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