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Florent Koman</w:t>
      </w:r>
    </w:p>
    <w:p>
      <w:pPr>
        <w:spacing w:line="240" w:lineRule="auto" w:before="0" w:after="0"/>
        <w:jc w:val="right"/>
      </w:pPr>
      <w:r>
        <w:t>Cabinet KOMAN Florent</w:t>
      </w:r>
    </w:p>
    <w:p>
      <w:pPr>
        <w:spacing w:line="240" w:lineRule="auto" w:before="0" w:after="0"/>
        <w:jc w:val="right"/>
      </w:pPr>
      <w:r>
        <w:t>16 rue Pierre Crin</w:t>
      </w:r>
    </w:p>
    <w:p>
      <w:pPr>
        <w:spacing w:line="240" w:lineRule="auto" w:before="0" w:after="0"/>
        <w:jc w:val="right"/>
      </w:pPr>
      <w:r>
        <w:t>60200 COMPIEGNE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Koman,</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reconnue pour son expertise et son ancrage local.</w:t>
      </w:r>
    </w:p>
    <w:p>
      <w:pPr>
        <w:spacing w:line="276" w:lineRule="auto" w:before="0" w:after="160"/>
        <w:jc w:val="both"/>
      </w:pPr>
      <w:r>
        <w:t>Le métier de géomètre-expert m'attire par l'articulation entre la rigueur technique de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implanté à Compiègne depuis 2003, se distingue par une structure à taille humaine privilégiant la proximité et la maîtrise du cœur de métier. Cette dimension artisanale, alliée à votre présence pérenne sur le territoire, garantit une approche rigoureuse des problématiques foncières. Votre gestion directe assure un suivi précis des dossiers, indispensable pour offrir des solutions fiables et adaptées aux réalités locales des propriétaires, tout en maintenant une qualité de conseil de proximité.</w:t>
      </w:r>
    </w:p>
    <w:p>
      <w:pPr>
        <w:spacing w:line="276" w:lineRule="auto" w:before="0" w:after="160"/>
        <w:jc w:val="both"/>
      </w:pPr>
      <w:r>
        <w:t>Mon parcours académique m'a doté d'une forte culture de la donnée spatiale (topographie, modélisation) et d'une solide capacité d'analyse face à des problématiques complexes. Mon objectif est de mettre cette force de production technique au service de vos opérations d'aménagement, tout en mobilisant ma méthodologie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appréhendé les réalités du terrain : de l’acquisition des données à la restitution graphique. Ces semaines m’ont démontré que les outils techniques ne prennent leur pleine valeur qu'en appuyant un raisonnement juridique solide. Conscient que la maîtrise opérationnelle s’acquiert par la pratique quotidienne, je suis motivé pour apporter rapidement ma contribution technique sur le terrain ainsi qu'en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Koman,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