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SAS AIRE &amp; TERRE</w:t>
      </w:r>
    </w:p>
    <w:p>
      <w:pPr>
        <w:spacing w:line="240" w:lineRule="auto" w:before="0" w:after="0"/>
        <w:jc w:val="right"/>
      </w:pPr>
      <w:r>
        <w:t>5 rue Tassart</w:t>
      </w:r>
    </w:p>
    <w:p>
      <w:pPr>
        <w:spacing w:line="240" w:lineRule="auto" w:before="0" w:after="0"/>
        <w:jc w:val="right"/>
      </w:pPr>
      <w:r>
        <w:t>60120 BRETEUIL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Éligibilité confirmée par l'Ordre, je recherche un poste de collaborateur constituant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Ce métier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de division ou d’aménagement durable.</w:t>
      </w:r>
    </w:p>
    <w:p>
      <w:pPr>
        <w:spacing w:line="276" w:lineRule="auto" w:before="0" w:after="160"/>
        <w:jc w:val="both"/>
      </w:pPr>
      <w:r>
        <w:t>Votre cabinet, par sa structure en SAS et son ancrage à Breteuil, incarne une approche professionnelle alliant rigueur organisationnelle et proximité avec les acteurs locaux. Cette présence permet de répondre aux enjeux fonciers avec une connaissance fine des réalités du territoire, garantissant une expertise fiable et une maîtrise du cœur de métier indispensable à la sécurisation des projets d'aménagement, de division et de gestion foncière.</w:t>
      </w:r>
    </w:p>
    <w:p>
      <w:pPr>
        <w:spacing w:line="276" w:lineRule="auto" w:before="0" w:after="160"/>
        <w:jc w:val="both"/>
      </w:pPr>
      <w:r>
        <w:t>Mon parcours m'a doté d'une forte culture de la donnée spatiale (SIG, topographie, modélisation)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que je sais traiter avec précision, et l'expertise juridique du droit foncier.</w:t>
      </w:r>
    </w:p>
    <w:p>
      <w:pPr>
        <w:spacing w:line="276" w:lineRule="auto" w:before="0" w:after="160"/>
        <w:jc w:val="both"/>
      </w:pPr>
      <w:r>
        <w:t>Lors de ma récente immersion en cabinet, j’ai principalement découvert la réalité du travail de terrain du géomètre-expert.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comme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