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Petru-Maria EMMANUELLI</w:t>
      </w:r>
    </w:p>
    <w:p>
      <w:pPr>
        <w:spacing w:line="240" w:lineRule="auto" w:before="0" w:after="0"/>
        <w:jc w:val="right"/>
      </w:pPr>
      <w:r>
        <w:t>Cabinet Pétru-Maria EMMANUELLI</w:t>
      </w:r>
    </w:p>
    <w:p>
      <w:pPr>
        <w:spacing w:line="240" w:lineRule="auto" w:before="0" w:after="0"/>
        <w:jc w:val="right"/>
      </w:pPr>
      <w:r>
        <w:t>6 rue du Texel</w:t>
      </w:r>
    </w:p>
    <w:p>
      <w:pPr>
        <w:spacing w:line="240" w:lineRule="auto" w:before="0" w:after="0"/>
        <w:jc w:val="right"/>
      </w:pPr>
      <w:r>
        <w:t>75014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Emmanuelli,</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instructif au sein du cabinet de Monsieur Pascal Vailles (31), je sollicite aujourd'hui votre structure avec la volonté de m'y investir pleinement et durablement.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sa dimension humaine et sa structure à taille réduite, semble privilégier une approche de proximité et une maîtrise fine du cœur de métier. Cette organisation permet une immersion directe dans la diversité des dossiers et une attention particulière à la qualité des prestations. Je suis sensible à ce modèle où l'expertise technique se conjugue avec un accompagnement personnalisé pour garantir une sécurité foncière optimale aux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Emmanuelli,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