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Sylvestre Henri Roseau</w:t>
      </w:r>
    </w:p>
    <w:p>
      <w:pPr>
        <w:spacing w:line="240" w:lineRule="auto" w:before="0" w:after="0"/>
        <w:jc w:val="right"/>
      </w:pPr>
      <w:r>
        <w:t>Cabinet ROSEAU &amp; Associés</w:t>
      </w:r>
    </w:p>
    <w:p>
      <w:pPr>
        <w:spacing w:line="240" w:lineRule="auto" w:before="0" w:after="0"/>
        <w:jc w:val="right"/>
      </w:pPr>
      <w:r>
        <w:t>9 rue Ernest Cresson</w:t>
      </w:r>
    </w:p>
    <w:p>
      <w:pPr>
        <w:spacing w:line="240" w:lineRule="auto" w:before="0" w:after="0"/>
        <w:jc w:val="right"/>
      </w:pPr>
      <w:r>
        <w:t>75014 PARIS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ROSEAU &amp; Associés, présent sur le territoire parisien depuis 1989, incarne une expertise solide ancrée dans un environnement urbain dense et complexe. Sa longévité témoigne d'une maîtrise confirmée du cœur du métier et d'une connaissance approfondie des problématiques foncières liées au patrimoine bâti. Cette capacité à traiter des dossiers structurants au sein d'une structure à taille humaine permet de garantir une approche rigoureuse, alliant technicité et attention portée aux spécificités de chaque projet.</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traiter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Roseau,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