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Aymeric Adam</w:t>
      </w:r>
    </w:p>
    <w:p>
      <w:pPr>
        <w:spacing w:line="240" w:lineRule="auto" w:before="0" w:after="0"/>
        <w:jc w:val="right"/>
      </w:pPr>
      <w:r>
        <w:t>SARL Cabinet ADAM</w:t>
      </w:r>
    </w:p>
    <w:p>
      <w:pPr>
        <w:spacing w:line="240" w:lineRule="auto" w:before="0" w:after="0"/>
        <w:jc w:val="right"/>
      </w:pPr>
      <w:r>
        <w:t>11 rue du Colisée</w:t>
      </w:r>
    </w:p>
    <w:p>
      <w:pPr>
        <w:spacing w:line="240" w:lineRule="auto" w:before="0" w:after="0"/>
        <w:jc w:val="right"/>
      </w:pPr>
      <w:r>
        <w:t>75008 PARIS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ADAM se distingue par son ancrage dans une mission de service public et sa capacité à traiter des contextes juridiques complexes. Votre approche, définissant le droit immobilier tant quantitativement que qualitativement, témoigne d'une exigence de précision où la géométrie de qualité sert une expertise détaillée. La structuration de vos équipes pluridisciplinaires souligne une vision globale de la profession, garantissant un accompagnement rigoureux face aux évolutions réglementaires perpétuelles.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Adam,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