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Jean-Francois Serrain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Serrain,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reconnue pour son expertise.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SERRAIN &amp; BLOY se distingue par une expertise pointue en relevés d'architecture en zone urbaine ainsi que par une maîtrise avancée des technologies numériques, notamment la convention BIM et le scan 3D. Votre capacité à conjuguer un ancrage historique, depuis 1946, avec une expansion dynamique vers Bordeaux témoigne d'une solide pérennité et d'un dynamisme constant. Par ailleurs, votre volonté explicite de former de nouveaux talents et votre approche humaine, fondée sur le respect et la confiance, constituent un environnement particulièrement propice à un apprentissage rigoureux et structuré.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Serrain,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