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Huchet De Quenetain</w:t>
      </w:r>
    </w:p>
    <w:p>
      <w:pPr>
        <w:spacing w:line="240" w:lineRule="auto" w:before="0" w:after="0"/>
        <w:jc w:val="right"/>
      </w:pPr>
      <w:r>
        <w:t>SAS A. DE QUENETAIN</w:t>
      </w:r>
    </w:p>
    <w:p>
      <w:pPr>
        <w:spacing w:line="240" w:lineRule="auto" w:before="0" w:after="0"/>
        <w:jc w:val="right"/>
      </w:pPr>
      <w:r>
        <w:t>1 rue Tiphaine</w:t>
      </w:r>
    </w:p>
    <w:p>
      <w:pPr>
        <w:spacing w:line="240" w:lineRule="auto" w:before="0" w:after="0"/>
        <w:jc w:val="right"/>
      </w:pPr>
      <w:r>
        <w:t>75015 PARIS 15</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l'ambition de m'investir pleinement au sein d'une structure de référence.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pointue sur les tissus urbains denses, notamment à Paris, où la gestion de la copropriété et les contraintes réglementaires exigent une précision technique absolue. Votre approche, alliant maîtrise des métiers fondamentaux et outils avancés comme le BIM, témoigne d'une volonté de conjuguer sécurité juridique et modernité technologique. Votre présence sur des secteurs complexes tels que l'aménagement urbain et le diagnostic foncier souligne un positionnement de haute technicité et de sérieux institutionnel.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