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Théo Denat</w:t>
      </w:r>
    </w:p>
    <w:p>
      <w:pPr>
        <w:spacing w:line="240" w:lineRule="auto" w:before="0" w:after="0"/>
        <w:jc w:val="right"/>
      </w:pPr>
      <w:r>
        <w:t>SELAS SUPGEO</w:t>
      </w:r>
    </w:p>
    <w:p>
      <w:pPr>
        <w:spacing w:line="240" w:lineRule="auto" w:before="0" w:after="0"/>
        <w:jc w:val="right"/>
      </w:pPr>
      <w:r>
        <w:t>62 boulevard Garibaldi</w:t>
      </w:r>
    </w:p>
    <w:p>
      <w:pPr>
        <w:spacing w:line="240" w:lineRule="auto" w:before="0" w:after="0"/>
        <w:jc w:val="right"/>
      </w:pPr>
      <w:r>
        <w:t>75015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Denat,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SupGeo se distingue par une approche technologique de pointe, intégrant scanners 3D, drones et modélisation BIM pour numériser le réel avec précision. Votre expertise en copropriété (cadres législatifs de 1965 et ÉLAN), ainsi que votre capacité à accompagner une clientèle variée, allant des particuliers aux collectivités, témoignent d'une exigence de rigueur et d'une volonté constante de parfaire les méthodes de mesure. Cette alliance entre haute technicité numérique et maîtrise du cadre réglementaire constitue un environnement particulièrement stimulant.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Denat,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