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Jean-Pierre Abello</w:t>
      </w:r>
    </w:p>
    <w:p>
      <w:pPr>
        <w:spacing w:line="240" w:lineRule="auto" w:before="0" w:after="0"/>
        <w:jc w:val="right"/>
      </w:pPr>
      <w:r>
        <w:t>Cabinet ABELLO SELARL de Géomètres-Experts</w:t>
      </w:r>
    </w:p>
    <w:p>
      <w:pPr>
        <w:spacing w:line="240" w:lineRule="auto" w:before="0" w:after="0"/>
        <w:jc w:val="right"/>
      </w:pPr>
      <w:r>
        <w:t>3 place Saint-Maclou</w:t>
      </w:r>
    </w:p>
    <w:p>
      <w:pPr>
        <w:spacing w:line="240" w:lineRule="auto" w:before="0" w:after="0"/>
        <w:jc w:val="right"/>
      </w:pPr>
      <w:r>
        <w:t>78200 MANTES LA JOLIE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Abello,</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fonciers, qu’il s’agisse de bornage, de division ou d’aménagement durable.</w:t>
      </w:r>
    </w:p>
    <w:p>
      <w:pPr>
        <w:spacing w:line="276" w:lineRule="auto" w:before="0" w:after="160"/>
        <w:jc w:val="both"/>
      </w:pPr>
      <w:r>
        <w:t>Votre cabinet, implanté depuis 2007, se distingue par une présence structurée sur plusieurs sites, notamment à Mantes-la-Jolie et à Limay. Cette organisation témoigne d'une capacité notable à intervenir sur des territoires variés, du milieu urbain aux zones rurales. Cette polyvalence, alliée à une structure de taille humaine, offre un environnement propice à une approche complète des problématiques foncières et à une gestion rigoureuse des dossiers de proximité.</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réalités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Abello,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