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ARKANE FONCIER</w:t>
      </w:r>
    </w:p>
    <w:p>
      <w:pPr>
        <w:spacing w:line="240" w:lineRule="auto" w:before="0" w:after="0"/>
        <w:jc w:val="right"/>
      </w:pPr>
      <w:r>
        <w:t>17 grande rue BP 20023</w:t>
      </w:r>
    </w:p>
    <w:p>
      <w:pPr>
        <w:spacing w:line="240" w:lineRule="auto" w:before="0" w:after="0"/>
        <w:jc w:val="right"/>
      </w:pPr>
      <w:r>
        <w:t>91311 MONTLHERY</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l’articulation entre rigueur technique et ingénierie juridique.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SELARL ARKANE FONCIER se distingue par une approche complète de la gestion foncière, alliant expertise technique et maîtrise du droit. Votre présence multi-régionale témoigne d'une grande polyvalence opérationnelle. De plus, votre investissement dans les technologies innovantes (BIM, modélisation 3D, métrologie haute précision) ainsi que votre capacité à gérer des projets complexes — de l’auscultation d’ouvrages aux divisions en volumes — illustrent une volonté constante de sécuriser durablement les actifs de vos clients.</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