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Gérard Marcel François Boudet</w:t>
      </w:r>
    </w:p>
    <w:p>
      <w:pPr>
        <w:spacing w:line="240" w:lineRule="auto" w:before="0" w:after="0"/>
        <w:jc w:val="right"/>
      </w:pPr>
      <w:r>
        <w:t>SASU G.B.</w:t>
      </w:r>
    </w:p>
    <w:p>
      <w:pPr>
        <w:spacing w:line="240" w:lineRule="auto" w:before="0" w:after="0"/>
        <w:jc w:val="right"/>
      </w:pPr>
      <w:r>
        <w:t>114 Avenue du Général Leclerc</w:t>
      </w:r>
    </w:p>
    <w:p>
      <w:pPr>
        <w:spacing w:line="240" w:lineRule="auto" w:before="0" w:after="0"/>
        <w:jc w:val="right"/>
      </w:pPr>
      <w:r>
        <w:t>92340 BOURG LA REINE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Boudet,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Bourg-la-Reine témoigne d'une approche de proximité centrée sur la maîtrise du cœur du métier. Cette structure permet une attention particulière à la qualité des prestations et à la gestion rigoureuse du patrimoine foncier local. Je suis sensible à cette organisation qui privilégie une expertise pointue au service d'une clientèle exigeante, où la précision technique et la fiabilité de l'accompagnement juridique sont primordiales.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Boudet,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