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Matthias KULKER</w:t>
      </w:r>
    </w:p>
    <w:p>
      <w:pPr>
        <w:spacing w:line="240" w:lineRule="auto" w:before="0" w:after="0"/>
        <w:jc w:val="right"/>
      </w:pPr>
      <w:r>
        <w:t>SELARL de Géomètre-Expert Matthias KULKER</w:t>
      </w:r>
    </w:p>
    <w:p>
      <w:pPr>
        <w:spacing w:line="240" w:lineRule="auto" w:before="0" w:after="0"/>
        <w:jc w:val="right"/>
      </w:pPr>
      <w:r>
        <w:t>17 bis av Le Corbeiller BP 16</w:t>
      </w:r>
    </w:p>
    <w:p>
      <w:pPr>
        <w:spacing w:line="240" w:lineRule="auto" w:before="0" w:after="0"/>
        <w:jc w:val="right"/>
      </w:pPr>
      <w:r>
        <w:t>92193 MEUDON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KULKER,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 et rigoureuse.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en SELARL témoigne d'une volonté de maîtrise du cœur de métier de la géométrie-expertise. En privilégiant une organisation à taille humaine, vous assurez une expertise de proximité et une rigueur constante dans le traitement des dossiers fonciers. Cette organisation permet d'offrir un accompagnement sur mesure, garantissant la qualité des prestations et la confiance des clients pour la sécurisation de leurs projets.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KULKER,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