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Claude Marie</w:t>
      </w:r>
    </w:p>
    <w:p>
      <w:pPr>
        <w:spacing w:line="240" w:lineRule="auto" w:before="0" w:after="0"/>
        <w:jc w:val="right"/>
      </w:pPr>
      <w:r>
        <w:t>SELAS GEXPERTISE CONSEIL</w:t>
      </w:r>
    </w:p>
    <w:p>
      <w:pPr>
        <w:spacing w:line="240" w:lineRule="auto" w:before="0" w:after="0"/>
        <w:jc w:val="right"/>
      </w:pPr>
      <w:r>
        <w:t>6 rue de Wolfenbüttel</w:t>
      </w:r>
    </w:p>
    <w:p>
      <w:pPr>
        <w:spacing w:line="240" w:lineRule="auto" w:before="0" w:after="0"/>
        <w:jc w:val="right"/>
      </w:pPr>
      <w:r>
        <w:t>92310 SEVRES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Gexpertise se distingue par une approche où la donnée est envisagée par sa finalité et son utilité concrète pour le client. Votre engagement dans l'innovation durable, notamment via l'écosystème BIM et la RE2020, témoigne d'une volonté d'anticiper les mutations du secteur de la construction. Cette vision transversale, qui accompagne l'actif tout au long de son cycle de vie en conciliant technicité d'acquisition et évolutions réglementaires, définit une expertise tournée vers la valorisation durable des projets et la maîtrise des enjeux environnementaux.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