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Alexy PROCOT</w:t>
      </w:r>
    </w:p>
    <w:p>
      <w:pPr>
        <w:spacing w:line="240" w:lineRule="auto" w:before="0" w:after="0"/>
        <w:jc w:val="right"/>
      </w:pPr>
      <w:r>
        <w:t>SELAS CDB</w:t>
      </w:r>
    </w:p>
    <w:p>
      <w:pPr>
        <w:spacing w:line="240" w:lineRule="auto" w:before="0" w:after="0"/>
        <w:jc w:val="right"/>
      </w:pPr>
      <w:r>
        <w:t>32 allée Mozart</w:t>
      </w:r>
    </w:p>
    <w:p>
      <w:pPr>
        <w:spacing w:line="240" w:lineRule="auto" w:before="0" w:after="0"/>
        <w:jc w:val="right"/>
      </w:pPr>
      <w:r>
        <w:t>93270 SEVRAN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CDB se distingue par une approche valorisant un savoir-faire historique en tant que successeur de praticiens reconnus. Votre positionnement, ancré dans une double compétence technique et juridique, assure aux clients une construction solide et une sécurité de compétence avérée. En tant que filiale de la société AUIGE, votre structure offre un cadre rigoureux où le respect des obligations déontologiques et l'indépendance professionnelle constituent les piliers de vos missions auprès des particuliers, des entreprises et des collectivités.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