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Rene Germain Radigois</w:t>
      </w:r>
    </w:p>
    <w:p>
      <w:pPr>
        <w:spacing w:line="240" w:lineRule="auto" w:before="0" w:after="0"/>
        <w:jc w:val="right"/>
      </w:pPr>
      <w:r>
        <w:t>Cabinet RADIGOIS Gérard</w:t>
      </w:r>
    </w:p>
    <w:p>
      <w:pPr>
        <w:spacing w:line="240" w:lineRule="auto" w:before="0" w:after="0"/>
        <w:jc w:val="right"/>
      </w:pPr>
      <w:r>
        <w:t>28 rue de Taverny</w:t>
      </w:r>
    </w:p>
    <w:p>
      <w:pPr>
        <w:spacing w:line="240" w:lineRule="auto" w:before="0" w:after="0"/>
        <w:jc w:val="right"/>
      </w:pPr>
      <w:r>
        <w:t>95550 BESSANCOURT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Radigois,</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RADIGOIS Gérard se distingue par une structure à taille humaine, établie depuis 1992, témoignant d'une maîtrise solide du cœur de métier et d'une relation de proximité avec les clients. Cette dimension, alliée à une expertise ancrée sur le territoire de Bessancourt, garantit une approche rigoureuse et une connaissance approfondie des spécificités foncières locales.</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la réalité du travail de terrain. Ma familiarité avec les outils de production m’a permis d’assimiler rapidement les méthodes d’acquisition, de la prise de mesures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Radigois,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