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Fouzi Smaili</w:t>
      </w:r>
    </w:p>
    <w:p>
      <w:pPr>
        <w:spacing w:line="240" w:lineRule="auto" w:before="0" w:after="0"/>
        <w:jc w:val="right"/>
      </w:pPr>
      <w:r>
        <w:t>SARL CABINET SMAILI FOUZI</w:t>
      </w:r>
    </w:p>
    <w:p>
      <w:pPr>
        <w:spacing w:line="240" w:lineRule="auto" w:before="0" w:after="0"/>
        <w:jc w:val="right"/>
      </w:pPr>
      <w:r>
        <w:t>5 boulevard de la Fraternité</w:t>
      </w:r>
    </w:p>
    <w:p>
      <w:pPr>
        <w:spacing w:line="240" w:lineRule="auto" w:before="0" w:after="0"/>
        <w:jc w:val="right"/>
      </w:pPr>
      <w:r>
        <w:t>95270 LUZARCHES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Smaili,</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et une présence établie depuis 2009. Cette configuration permet de valoriser une maîtrise approfondie du cœur du métier tout en garantissant une proximité directe avec vos clients. Cette dimension de proximité, alliée à une expertise ancrée dans le territoire, constitue un cadre idéal pour appréhender la diversité des problématiques foncières avec une rigueur constante.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Smaili,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