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Nicolas Andrew et Stephane Smith</w:t>
      </w:r>
    </w:p>
    <w:p>
      <w:pPr>
        <w:spacing w:line="240" w:lineRule="auto" w:before="0" w:after="0"/>
        <w:jc w:val="right"/>
      </w:pPr>
      <w:r>
        <w:t>SELAS SIGMA Géomètres-Experts Associés</w:t>
      </w:r>
    </w:p>
    <w:p>
      <w:pPr>
        <w:spacing w:line="240" w:lineRule="auto" w:before="0" w:after="0"/>
        <w:jc w:val="right"/>
      </w:pPr>
      <w:r>
        <w:t>73 rue de Paris</w:t>
      </w:r>
    </w:p>
    <w:p>
      <w:pPr>
        <w:spacing w:line="240" w:lineRule="auto" w:before="0" w:after="0"/>
        <w:jc w:val="right"/>
      </w:pPr>
      <w:r>
        <w:t>95320 ST LEU LA FORET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d'une structure établie comme la vôtre.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de parcelles ou d’aménagement durable.</w:t>
      </w:r>
    </w:p>
    <w:p>
      <w:pPr>
        <w:spacing w:line="276" w:lineRule="auto" w:before="0" w:after="160"/>
        <w:jc w:val="both"/>
      </w:pPr>
      <w:r>
        <w:t>Votre cabinet, présent sur plusieurs sites tels qu'Herblay-sur-Seine et Saint-Leu-la-Forêt, témoigne d'une implantation stratégique couvrant une diversité de contextes territoriaux, du milieu urbain aux zones périurbaines. Avec une dizaine d'employés, votre structure semble allier capacité d'intervention sur des projets d'envergure à une organisation humaine et structurée. Cette configuration offre un cadre propice à une pratique diversifiée des métiers de la géométrie, où la maîtrise des enjeux complexes au sein d'un environnement collaboratif est une priorité constante.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échange entre la rigueur de la donnée et l'expertise du droit foncier, afin de contribuer efficacement à la qualité de vos prestations techniques et juridiques.</w:t>
      </w:r>
    </w:p>
    <w:p>
      <w:pPr>
        <w:spacing w:line="276" w:lineRule="auto" w:before="0" w:after="160"/>
        <w:jc w:val="both"/>
      </w:pPr>
      <w:r>
        <w:t>Lors de ma récente immersion en cabinet, j’ai appréhendé le travail de terrain et les étapes de production de la donnée. Ma maîtrise des outils de traitement spatial m’a permis d’assimiler rapidement les méthodes de production, de l’acquisition sur le terrain jusqu'à la restitution graphique finale. Ces semaines ont confirmé que les outils techniques ne prennent leur pleine valeur que lorsqu’ils appuient un raisonnement juridique solide. Conscient que la maîtrise opérationnelle s’acquiert par la pratique quotidienne, je suis motivé pour apporter rapidement ma contribution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