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63A Avenue Charles de Gaulle</w:t>
      </w:r>
    </w:p>
    <w:p>
      <w:pPr>
        <w:spacing w:line="240" w:lineRule="auto" w:before="0" w:after="0"/>
        <w:jc w:val="left"/>
      </w:pPr>
      <w:r>
        <w:t>40530 Labenne</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UNGE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et exigeant.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exigence de précision technique et de sécurité juridique constitue le cœur même de ma motivation professionnelle.</w:t>
      </w:r>
    </w:p>
    <w:p>
      <w:pPr>
        <w:spacing w:line="276" w:lineRule="auto" w:before="0" w:after="160"/>
        <w:jc w:val="both"/>
      </w:pPr>
      <w:r>
        <w:t>En m'adressant au réseau de l'UNGE,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finale. Ces semaines m’ont surtout permis de mesurer que les outils techniques ne prennent leur pleine valeur que lorsqu’ils viennent appuyer un raisonnement juridique solide. Conscient que la maîtrise opérationnelle s’acquiert par la pratique quotidienne et répétée, je suis motivé pour apporter rapidement mon concours technique sur le terrain ainsi qu'en bureau d'études pour soutenir vos équipes.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