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ABAC-GEO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d'une structure solide.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approfondie et une présence territoriale forte en Normandie, structurée autour de trois sites de production. La gestion d'un patrimoine historique de données, incluant des archives remontant à 1946, témoigne d'une maîtrise du foncier ancrée dans la durée et une connaissance fine du territoire. Par ailleurs, votre organisation repose sur une expertise collective où la synergie entre co-gérants, ingénieurs spécialisés et techniciens permet de répondre avec précision à des problématiques complexes, notamment en matière de copropriété et de modélisation 3D, tout en assurant une fluidité administrative.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de soutenir votre développement.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