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SELARL MESURES</w:t>
      </w:r>
    </w:p>
    <w:p>
      <w:pPr>
        <w:spacing w:line="240" w:lineRule="auto" w:before="0" w:after="0"/>
        <w:jc w:val="right"/>
      </w:pPr>
      <w:r>
        <w:t>8 quai Baluze</w:t>
      </w:r>
    </w:p>
    <w:p>
      <w:pPr>
        <w:spacing w:line="240" w:lineRule="auto" w:before="0" w:after="0"/>
        <w:jc w:val="right"/>
      </w:pPr>
      <w:r>
        <w:t>19000 TULLE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présente un ancrage territorial solide à travers ses implantations à Tulle, Brive-la-Gaillarde, Ussel et Egletons. Cette présence multi-sites témoigne d'une capacité à intervenir sur une grande diversité de contextes, urbains ou ruraux. Cette polyvalence géographique, couplée à une présence établie sur plusieurs zones distinctes, offre une vision globale des enjeux fonciers et une variété de problématiques techniques constituant un environnement stimulant pour un futur professionnel souhaitant appréhender la complexité des projets à différentes échelles.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