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Loic Bonneteau</w:t>
      </w:r>
    </w:p>
    <w:p>
      <w:pPr>
        <w:spacing w:line="240" w:lineRule="auto" w:before="0" w:after="0"/>
        <w:jc w:val="right"/>
      </w:pPr>
      <w:r>
        <w:t>BONNETEAU SELARL</w:t>
      </w:r>
    </w:p>
    <w:p>
      <w:pPr>
        <w:spacing w:line="240" w:lineRule="auto" w:before="0" w:after="0"/>
        <w:jc w:val="right"/>
      </w:pPr>
      <w:r>
        <w:t>19 Rue Gambetta</w:t>
      </w:r>
    </w:p>
    <w:p>
      <w:pPr>
        <w:spacing w:line="240" w:lineRule="auto" w:before="0" w:after="0"/>
        <w:jc w:val="right"/>
      </w:pPr>
      <w:r>
        <w:t>24310 BRANTOME EN PERIGORD</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Bonneteau,</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effectuer mon stage professionnel de deux ans. À la suite d’un stage d’observation instructif au sein du cabinet de Monsieur Pascal Vailles à Muret (31), je dépose aujourd'hui ma candidature avec l'ambition de m'investir pleinement au sein d'une structure dynamique.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BONNETEAU SELARL se distingue par une structure établie depuis 2010, témoignant d'une solide maîtrise du cœur de métier de la géomètrie-expertise. Votre ancrage local à Brantôme en Périgord suggère une approche de proximité, essentielle pour accompagner les acteurs locaux dans la sécurisation de leur patrimoine foncier. Cette dimension de conseil, alliée à une gestion rigoureuse des opérations courantes, constitue un environnement de travail particulièrement structurant pour l'apprentissage du métier.</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Bonneteau,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