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SARL A2GEO</w:t>
      </w:r>
    </w:p>
    <w:p>
      <w:pPr>
        <w:spacing w:line="240" w:lineRule="auto" w:before="0" w:after="0"/>
        <w:jc w:val="right"/>
      </w:pPr>
      <w:r>
        <w:t>13 impasse Vincent Le Goff</w:t>
      </w:r>
    </w:p>
    <w:p>
      <w:pPr>
        <w:spacing w:line="240" w:lineRule="auto" w:before="0" w:after="0"/>
        <w:jc w:val="right"/>
      </w:pPr>
      <w:r>
        <w:t>24750 BOULAZAC ISLE MANOIRE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soumets aujourd'hui ma candidature pour intégrer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w:t>
      </w:r>
    </w:p>
    <w:p>
      <w:pPr>
        <w:spacing w:line="276" w:lineRule="auto" w:before="0" w:after="160"/>
        <w:jc w:val="both"/>
      </w:pPr>
      <w:r>
        <w:t>Votre cabinet se distingue par un ancrage local fort en Dordogne et une approche humaine privilégiant l'accompagnement sur-mesure de chaque projet. La maîtrise du cœur de métier — notamment le bornage, la division foncière et la gestion des servitudes — témoigne d'un savoir-faire solide et d'une volonté constante de sécuriser les transactions immobilières. Cette capacité à allier une précision technique de haute qualité à une écoute attentive des besoins spécifiques des clients constitue un modèle de professionnalisme que je respecte.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de topographie et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